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F993" w14:textId="77777777" w:rsidR="004153E4" w:rsidRPr="004153E4" w:rsidRDefault="004153E4" w:rsidP="004153E4">
      <w:pPr>
        <w:shd w:val="clear" w:color="auto" w:fill="FFFFFF"/>
        <w:spacing w:before="300" w:after="150" w:line="240" w:lineRule="auto"/>
        <w:outlineLvl w:val="1"/>
        <w:rPr>
          <w:rFonts w:ascii="Verdana" w:eastAsia="Times New Roman" w:hAnsi="Verdana" w:cs="Times New Roman"/>
          <w:color w:val="065687"/>
          <w:sz w:val="26"/>
          <w:szCs w:val="26"/>
          <w:lang w:eastAsia="en-AU"/>
        </w:rPr>
      </w:pPr>
      <w:r w:rsidRPr="004153E4">
        <w:rPr>
          <w:rFonts w:ascii="Verdana" w:eastAsia="Times New Roman" w:hAnsi="Verdana" w:cs="Times New Roman"/>
          <w:color w:val="065687"/>
          <w:sz w:val="26"/>
          <w:szCs w:val="26"/>
          <w:lang w:eastAsia="en-AU"/>
        </w:rPr>
        <w:t>Direction from Chief Health Officer in accordance with emergency powers arising from the declared public health emergency</w:t>
      </w:r>
    </w:p>
    <w:p w14:paraId="356654F8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Public Health Act 2005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(Qld)</w:t>
      </w:r>
    </w:p>
    <w:p w14:paraId="31D67C65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Section 362B</w:t>
      </w:r>
    </w:p>
    <w:p w14:paraId="0C6F016A" w14:textId="4A3AEBDA" w:rsidR="004153E4" w:rsidRPr="004153E4" w:rsidRDefault="004153E4" w:rsidP="004153E4">
      <w:pPr>
        <w:shd w:val="clear" w:color="auto" w:fill="FFFFFF"/>
        <w:spacing w:after="150" w:line="240" w:lineRule="auto"/>
        <w:ind w:firstLine="19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 xml:space="preserve">On 29 </w:t>
      </w:r>
      <w:r w:rsidR="00A22330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March</w:t>
      </w:r>
      <w:bookmarkStart w:id="0" w:name="_GoBack"/>
      <w:bookmarkEnd w:id="0"/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 xml:space="preserve"> 2020, under the </w:t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Public Health Act 2005, 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the Minister for Health and Minister for Ambulance Services made an order declaring a public health emergency in relation to coronavirus disease (COVID-19). The public health emergency area specified in the order is for ‘all of Queensland’. Its duration has been extended by regulation to 19 May 2020 and may be further extended.</w:t>
      </w:r>
    </w:p>
    <w:p w14:paraId="1996075E" w14:textId="77777777" w:rsidR="004153E4" w:rsidRPr="004153E4" w:rsidRDefault="004153E4" w:rsidP="004153E4">
      <w:pPr>
        <w:shd w:val="clear" w:color="auto" w:fill="FFFFFF"/>
        <w:spacing w:before="150" w:after="150" w:line="240" w:lineRule="auto"/>
        <w:ind w:hanging="11"/>
        <w:outlineLvl w:val="3"/>
        <w:rPr>
          <w:rFonts w:ascii="Verdana" w:eastAsia="Times New Roman" w:hAnsi="Verdana" w:cs="Times New Roman"/>
          <w:b/>
          <w:color w:val="065687"/>
          <w:sz w:val="23"/>
          <w:szCs w:val="23"/>
          <w:lang w:eastAsia="en-AU"/>
        </w:rPr>
      </w:pPr>
      <w:r w:rsidRPr="004153E4">
        <w:rPr>
          <w:rFonts w:ascii="Verdana" w:eastAsia="Times New Roman" w:hAnsi="Verdana" w:cs="Times New Roman"/>
          <w:color w:val="065687"/>
          <w:sz w:val="23"/>
          <w:szCs w:val="23"/>
          <w:lang w:eastAsia="en-AU"/>
        </w:rPr>
        <w:t xml:space="preserve">PART 1 — DIRECTION – </w:t>
      </w:r>
      <w:r w:rsidRPr="004153E4">
        <w:rPr>
          <w:rFonts w:ascii="Verdana" w:eastAsia="Times New Roman" w:hAnsi="Verdana" w:cs="Times New Roman"/>
          <w:b/>
          <w:color w:val="065687"/>
          <w:sz w:val="23"/>
          <w:szCs w:val="23"/>
          <w:lang w:eastAsia="en-AU"/>
        </w:rPr>
        <w:t>Home confinement requirements for residents of Queensland</w:t>
      </w:r>
    </w:p>
    <w:p w14:paraId="2BA55C0B" w14:textId="77777777" w:rsidR="004153E4" w:rsidRPr="004153E4" w:rsidRDefault="004153E4" w:rsidP="004153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The purpose of this Part is to prohibit:</w:t>
      </w:r>
    </w:p>
    <w:p w14:paraId="01C8E2FF" w14:textId="77777777" w:rsidR="004153E4" w:rsidRPr="004153E4" w:rsidRDefault="004153E4" w:rsidP="004153E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persons from leaving their residence except for permitted purposes; and</w:t>
      </w:r>
    </w:p>
    <w:p w14:paraId="12B911AD" w14:textId="77777777" w:rsidR="004153E4" w:rsidRPr="004153E4" w:rsidRDefault="004153E4" w:rsidP="004153E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groups of more than two persons who are not members of the same household from gathering in any place except for permitted purposes.</w:t>
      </w:r>
    </w:p>
    <w:p w14:paraId="60E7E6CD" w14:textId="77777777" w:rsidR="004153E4" w:rsidRDefault="004153E4" w:rsidP="00415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These directions apply from 11.59pm on Sunday, 29 March 2020, until the end of the declared public health emergency, unless they are revoked or replaced.</w:t>
      </w:r>
    </w:p>
    <w:p w14:paraId="3B8E25DB" w14:textId="77777777" w:rsidR="004153E4" w:rsidRPr="004153E4" w:rsidRDefault="004153E4" w:rsidP="004153E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</w:p>
    <w:p w14:paraId="574F252A" w14:textId="77777777" w:rsidR="004153E4" w:rsidRPr="004153E4" w:rsidRDefault="004153E4" w:rsidP="004153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A person who resides in Queensland must not leave their principal place of residence except for, and only to the extent reasonably necessary to accomplish, the following permitted purposes:</w:t>
      </w:r>
    </w:p>
    <w:p w14:paraId="12519799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obtain food or other </w:t>
      </w:r>
      <w:r w:rsidRPr="004153E4">
        <w:rPr>
          <w:rFonts w:ascii="Verdana" w:eastAsia="Times New Roman" w:hAnsi="Verdana" w:cs="Times New Roman"/>
          <w:b/>
          <w:bCs/>
          <w:color w:val="000000"/>
          <w:lang w:eastAsia="en-AU"/>
        </w:rPr>
        <w:t>essential goods or services</w:t>
      </w:r>
      <w:r w:rsidRPr="004153E4">
        <w:rPr>
          <w:rFonts w:ascii="Verdana" w:eastAsia="Times New Roman" w:hAnsi="Verdana" w:cs="Times New Roman"/>
          <w:color w:val="000000"/>
          <w:lang w:eastAsia="en-AU"/>
        </w:rPr>
        <w:t>;</w:t>
      </w:r>
    </w:p>
    <w:p w14:paraId="5F318C2A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obtain medical treatment or other health care services;</w:t>
      </w:r>
    </w:p>
    <w:p w14:paraId="0ADB2152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engage in physical exercise, either alone or in the company of no more than one other person; or in the company of a family group who ordinarily live in the same </w:t>
      </w:r>
      <w:r w:rsidRPr="004153E4">
        <w:rPr>
          <w:rFonts w:ascii="Verdana" w:eastAsia="Times New Roman" w:hAnsi="Verdana" w:cs="Times New Roman"/>
          <w:b/>
          <w:bCs/>
          <w:color w:val="000000"/>
          <w:lang w:eastAsia="en-AU"/>
        </w:rPr>
        <w:t>Household;</w:t>
      </w:r>
    </w:p>
    <w:p w14:paraId="1399F626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perform work on behalf of an employer that is engaged in an </w:t>
      </w:r>
      <w:r w:rsidRPr="004153E4">
        <w:rPr>
          <w:rFonts w:ascii="Verdana" w:eastAsia="Times New Roman" w:hAnsi="Verdana" w:cs="Times New Roman"/>
          <w:b/>
          <w:bCs/>
          <w:color w:val="000000"/>
          <w:lang w:eastAsia="en-AU"/>
        </w:rPr>
        <w:t>essential business, activity or undertaking</w:t>
      </w:r>
      <w:r w:rsidRPr="004153E4">
        <w:rPr>
          <w:rFonts w:ascii="Verdana" w:eastAsia="Times New Roman" w:hAnsi="Verdana" w:cs="Times New Roman"/>
          <w:color w:val="000000"/>
          <w:lang w:eastAsia="en-AU"/>
        </w:rPr>
        <w:t>, and the work to be performed is of a nature that cannot reasonably be performed from the person’s principal place of residence;</w:t>
      </w:r>
    </w:p>
    <w:p w14:paraId="1484BB7E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visit a terminally ill relative or to attend a funeral, subject to any applicable restrictions under other relevant Public Health Directions;</w:t>
      </w:r>
    </w:p>
    <w:p w14:paraId="43198047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provide assistance, care or support to an immediate member of the person’s family;</w:t>
      </w:r>
    </w:p>
    <w:p w14:paraId="445B03C7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attend any Court of Australia or to comply with or give effect to orders of the Court; or</w:t>
      </w:r>
    </w:p>
    <w:p w14:paraId="72ACB6EA" w14:textId="77777777" w:rsidR="004153E4" w:rsidRPr="004153E4" w:rsidRDefault="004153E4" w:rsidP="004153E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lang w:eastAsia="en-AU"/>
        </w:rPr>
        <w:t>to attend a childcare facility, school, university, or other educational institution, to the extent care or instruction cannot reasonably be obtained in the person’s principal place of residence.</w:t>
      </w:r>
    </w:p>
    <w:p w14:paraId="66F2361A" w14:textId="77777777" w:rsidR="004153E4" w:rsidRPr="004153E4" w:rsidRDefault="004153E4" w:rsidP="00415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 person who leaves their residence for a permitted purpose may be accompanied by members of their household or, alternatively, by no more than one person who is not a member of their household.</w:t>
      </w:r>
    </w:p>
    <w:p w14:paraId="75127077" w14:textId="77777777" w:rsidR="004153E4" w:rsidRPr="004153E4" w:rsidRDefault="004153E4" w:rsidP="004153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The Queensland Chief Health Officer may grant an exemption to part or all of these directions on compassionate grounds or for other exceptional circumstances.</w:t>
      </w:r>
    </w:p>
    <w:p w14:paraId="5F716A15" w14:textId="77777777" w:rsidR="004153E4" w:rsidRPr="004153E4" w:rsidRDefault="004153E4" w:rsidP="004153E4">
      <w:pPr>
        <w:shd w:val="clear" w:color="auto" w:fill="FFFFFF"/>
        <w:spacing w:before="150" w:after="150" w:line="240" w:lineRule="auto"/>
        <w:ind w:hanging="11"/>
        <w:outlineLvl w:val="3"/>
        <w:rPr>
          <w:rFonts w:ascii="Verdana" w:eastAsia="Times New Roman" w:hAnsi="Verdana" w:cs="Times New Roman"/>
          <w:color w:val="065687"/>
          <w:sz w:val="23"/>
          <w:szCs w:val="23"/>
          <w:lang w:eastAsia="en-AU"/>
        </w:rPr>
      </w:pPr>
      <w:r w:rsidRPr="004153E4">
        <w:rPr>
          <w:rFonts w:ascii="Verdana" w:eastAsia="Times New Roman" w:hAnsi="Verdana" w:cs="Times New Roman"/>
          <w:color w:val="065687"/>
          <w:sz w:val="23"/>
          <w:szCs w:val="23"/>
          <w:lang w:eastAsia="en-AU"/>
        </w:rPr>
        <w:lastRenderedPageBreak/>
        <w:t>Definitions</w:t>
      </w:r>
    </w:p>
    <w:p w14:paraId="1CFF945A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For the purposes of this Public Health Direction:</w:t>
      </w:r>
    </w:p>
    <w:p w14:paraId="13EB09AE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Essential business, activity or undertaking 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means a business, activity or undertaking that is not prohibited by the </w:t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Non-essential business, activity and undertaking Closure Direction (No.3)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or another Public Health Direction.</w:t>
      </w:r>
    </w:p>
    <w:p w14:paraId="3ADF088A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Essential goods or services</w:t>
      </w:r>
      <w:r w:rsidR="00D27752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 xml:space="preserve"> 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are food and other supplies, and services, that are needed for the necessities of life and operation of society, such as food, fuel, medical supplies, and other goods.</w:t>
      </w:r>
    </w:p>
    <w:p w14:paraId="1957760B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Household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means persons who ordinarily live at the same residence, including if family or kinship customs or cultural obligations have the effect of a person living across multiple residences.</w:t>
      </w:r>
    </w:p>
    <w:p w14:paraId="4B584AA7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Principal place of residence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means:</w:t>
      </w:r>
    </w:p>
    <w:p w14:paraId="1534CD86" w14:textId="77777777" w:rsidR="004153E4" w:rsidRPr="004153E4" w:rsidRDefault="004153E4" w:rsidP="00415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For a person who permanently resides in Queensland, the </w:t>
      </w: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residence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where the person ordinarily resides.</w:t>
      </w:r>
    </w:p>
    <w:p w14:paraId="25BD53E4" w14:textId="77777777" w:rsidR="004153E4" w:rsidRPr="004153E4" w:rsidRDefault="004153E4" w:rsidP="004153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For a person who temporarily resides in Queensland, the </w:t>
      </w: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residence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where the person ordinarily resides when the person in present in Queensland.</w:t>
      </w:r>
    </w:p>
    <w:p w14:paraId="6B480CDF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AU"/>
        </w:rPr>
        <w:t>Residence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 means premises used, or intended to be used, as a dwelling or mainly as a dwelling, and includes the land on which the residence is situated, and includes:</w:t>
      </w:r>
    </w:p>
    <w:p w14:paraId="4622A5F2" w14:textId="77777777" w:rsidR="004153E4" w:rsidRPr="004153E4" w:rsidRDefault="004153E4" w:rsidP="00415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 single detached dwelling;</w:t>
      </w:r>
    </w:p>
    <w:p w14:paraId="3A451426" w14:textId="77777777" w:rsidR="004153E4" w:rsidRPr="004153E4" w:rsidRDefault="004153E4" w:rsidP="00415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each of one or more attached dwellings that are separated by a common wall;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br/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Examples for paragraph (b) — villa unit, townhouse, terrace house, row house, unit in an apartment block.</w:t>
      </w:r>
    </w:p>
    <w:p w14:paraId="0722CA7A" w14:textId="77777777" w:rsidR="004153E4" w:rsidRPr="004153E4" w:rsidRDefault="004153E4" w:rsidP="00415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 manufactured home as defined in section 10 of the </w:t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Manufactured Homes (Residential Parks) Act 2003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;</w:t>
      </w:r>
    </w:p>
    <w:p w14:paraId="5CBE6789" w14:textId="77777777" w:rsidR="004153E4" w:rsidRPr="004153E4" w:rsidRDefault="004153E4" w:rsidP="00415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 caravan as defined in section 7 of the </w:t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Residential Tenancies and Rooming Accommodation Act 2008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;</w:t>
      </w:r>
    </w:p>
    <w:p w14:paraId="0F96DBF9" w14:textId="77777777" w:rsidR="004153E4" w:rsidRPr="004153E4" w:rsidRDefault="004153E4" w:rsidP="004153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any other building or structure situated on the same land as the premises or dwelling.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br/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Examples for paragraph (e) – shed, pool house, carport, granny flat. But does not include a corrective services facility or detention centre.</w:t>
      </w:r>
    </w:p>
    <w:p w14:paraId="298193D5" w14:textId="77777777" w:rsidR="004153E4" w:rsidRPr="004153E4" w:rsidRDefault="004153E4" w:rsidP="004153E4">
      <w:pPr>
        <w:shd w:val="clear" w:color="auto" w:fill="FFFFFF"/>
        <w:spacing w:before="150" w:after="150" w:line="240" w:lineRule="auto"/>
        <w:outlineLvl w:val="3"/>
        <w:rPr>
          <w:rFonts w:ascii="Verdana" w:eastAsia="Times New Roman" w:hAnsi="Verdana" w:cs="Times New Roman"/>
          <w:color w:val="065687"/>
          <w:sz w:val="23"/>
          <w:szCs w:val="23"/>
          <w:lang w:eastAsia="en-AU"/>
        </w:rPr>
      </w:pPr>
      <w:r w:rsidRPr="004153E4">
        <w:rPr>
          <w:rFonts w:ascii="Verdana" w:eastAsia="Times New Roman" w:hAnsi="Verdana" w:cs="Times New Roman"/>
          <w:color w:val="065687"/>
          <w:sz w:val="23"/>
          <w:szCs w:val="23"/>
          <w:lang w:eastAsia="en-AU"/>
        </w:rPr>
        <w:t>PART 2 - PENALTIES</w:t>
      </w:r>
    </w:p>
    <w:p w14:paraId="6B112AF1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 person to whom the direction applies commits an offence if the person fails, without reasonable excuse, to comply with the direction.</w:t>
      </w:r>
    </w:p>
    <w:p w14:paraId="0CA95438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Section 362D of the </w:t>
      </w:r>
      <w:r w:rsidRPr="004153E4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AU"/>
        </w:rPr>
        <w:t>Public Health Act 2005 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provides:</w:t>
      </w:r>
    </w:p>
    <w:p w14:paraId="571094C6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Failure to comply with public health directions</w:t>
      </w:r>
    </w:p>
    <w:p w14:paraId="3228651E" w14:textId="77777777" w:rsidR="004153E4" w:rsidRPr="004153E4" w:rsidRDefault="004153E4" w:rsidP="004153E4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A person to whom a public health direction applies must comply with the direction unless the person has a reasonable excuse.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br/>
        <w:t>Maximum penalty—100 penalty units.</w:t>
      </w:r>
    </w:p>
    <w:p w14:paraId="52BC0D09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Dr Jeannette Young</w:t>
      </w: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br/>
        <w:t>Chief Health Officer</w:t>
      </w:r>
    </w:p>
    <w:p w14:paraId="134CE3A5" w14:textId="77777777" w:rsidR="004153E4" w:rsidRPr="004153E4" w:rsidRDefault="004153E4" w:rsidP="00415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</w:pPr>
      <w:r w:rsidRPr="004153E4">
        <w:rPr>
          <w:rFonts w:ascii="Verdana" w:eastAsia="Times New Roman" w:hAnsi="Verdana" w:cs="Times New Roman"/>
          <w:color w:val="000000"/>
          <w:sz w:val="19"/>
          <w:szCs w:val="19"/>
          <w:lang w:eastAsia="en-AU"/>
        </w:rPr>
        <w:t>29 March 2020</w:t>
      </w:r>
    </w:p>
    <w:p w14:paraId="07C5EE76" w14:textId="77777777" w:rsidR="007E28AB" w:rsidRDefault="00A22330"/>
    <w:sectPr w:rsidR="007E2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0369"/>
    <w:multiLevelType w:val="multilevel"/>
    <w:tmpl w:val="026A0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14475"/>
    <w:multiLevelType w:val="multilevel"/>
    <w:tmpl w:val="14DC7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13059"/>
    <w:multiLevelType w:val="multilevel"/>
    <w:tmpl w:val="E88CE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727C3"/>
    <w:multiLevelType w:val="multilevel"/>
    <w:tmpl w:val="338A81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B1F42"/>
    <w:multiLevelType w:val="multilevel"/>
    <w:tmpl w:val="9D460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4"/>
    <w:rsid w:val="004153E4"/>
    <w:rsid w:val="00A22330"/>
    <w:rsid w:val="00B161F6"/>
    <w:rsid w:val="00C339F5"/>
    <w:rsid w:val="00CF75A2"/>
    <w:rsid w:val="00D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513C"/>
  <w15:docId w15:val="{F9FA0826-C7EC-437B-A859-104489BF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 brewer</cp:lastModifiedBy>
  <cp:revision>2</cp:revision>
  <dcterms:created xsi:type="dcterms:W3CDTF">2020-03-31T06:54:00Z</dcterms:created>
  <dcterms:modified xsi:type="dcterms:W3CDTF">2020-03-31T06:54:00Z</dcterms:modified>
</cp:coreProperties>
</file>